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/>
      </w:pPr>
      <w:r>
        <w:rPr/>
        <w:drawing>
          <wp:anchor behindDoc="0" distT="0" distB="0" distL="114935" distR="114935" simplePos="0" locked="0" layoutInCell="1" allowOverlap="1" relativeHeight="2">
            <wp:simplePos x="0" y="0"/>
            <wp:positionH relativeFrom="column">
              <wp:posOffset>2980055</wp:posOffset>
            </wp:positionH>
            <wp:positionV relativeFrom="paragraph">
              <wp:posOffset>80645</wp:posOffset>
            </wp:positionV>
            <wp:extent cx="542290" cy="90424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904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города Кирсанова</w:t>
      </w:r>
    </w:p>
    <w:p>
      <w:pPr>
        <w:pStyle w:val="1"/>
        <w:widowControl/>
        <w:numPr>
          <w:ilvl w:val="0"/>
          <w:numId w:val="1"/>
        </w:numPr>
        <w:ind w:left="0" w:hanging="432"/>
        <w:jc w:val="center"/>
        <w:textAlignment w:val="auto"/>
        <w:rPr>
          <w:rFonts w:cs="Times New Roman"/>
          <w:b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Тамбовской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2"/>
        <w:numPr>
          <w:ilvl w:val="1"/>
          <w:numId w:val="1"/>
        </w:numPr>
        <w:suppressAutoHyphens w:val="true"/>
        <w:spacing w:lineRule="auto" w:line="240" w:before="0" w:after="0"/>
        <w:ind w:left="0" w:hanging="576"/>
        <w:jc w:val="center"/>
        <w:rPr>
          <w:rFonts w:ascii="Times New Roman" w:hAnsi="Times New Roman" w:cs="Times New Roman"/>
          <w:i w:val="false"/>
          <w:i w:val="false"/>
          <w:sz w:val="48"/>
          <w:szCs w:val="48"/>
        </w:rPr>
      </w:pPr>
      <w:r>
        <w:rPr>
          <w:rFonts w:cs="Times New Roman" w:ascii="Times New Roman" w:hAnsi="Times New Roman"/>
          <w:i w:val="false"/>
          <w:sz w:val="48"/>
          <w:szCs w:val="48"/>
        </w:rPr>
        <w:t>ПОСТАНОВЛЕНИЕ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  <w:u w:val="single"/>
        </w:rPr>
        <w:t>28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октября</w:t>
      </w:r>
      <w:r>
        <w:rPr>
          <w:rFonts w:ascii="Times New Roman" w:hAnsi="Times New Roman"/>
          <w:b/>
          <w:sz w:val="28"/>
          <w:szCs w:val="28"/>
        </w:rPr>
        <w:t xml:space="preserve"> 2020 г.               г. Кирсанов                        №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792</w:t>
      </w:r>
    </w:p>
    <w:p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 от 26.03.2015 №359 «</w:t>
      </w:r>
      <w:r>
        <w:rPr>
          <w:rFonts w:ascii="Times New Roman" w:hAnsi="Times New Roman"/>
          <w:sz w:val="28"/>
          <w:szCs w:val="28"/>
          <w:shd w:fill="FFFFFF" w:val="clear"/>
        </w:rPr>
        <w:t>Об утверждении  перечня государственных услуг по полномочиям, переданным для осуществления органами местного самоуправления, и муниципальных услуг, предоставление которых может быть организовано по принципу «одного окна» в Кирсановском муниципальном казенном учреждении «Многофункциональный центр предоставления государственных и муниципальных услуг»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fill="FFFFFF" w:val="clear"/>
        </w:rPr>
        <w:t xml:space="preserve">         </w:t>
      </w:r>
      <w:r>
        <w:rPr>
          <w:rFonts w:ascii="Times New Roman" w:hAnsi="Times New Roman"/>
          <w:sz w:val="28"/>
          <w:szCs w:val="28"/>
          <w:shd w:fill="FFFFFF" w:val="clear"/>
        </w:rPr>
        <w:t>В соответствии с Федеральным законом от 27.07.2010 №210-ФЗ «Об организации предоставления государственных и муниципальных услуг», постановлением Правительства Российской Федерации от 27.09.2011 №797 «О взаимодействии между многофункциональными центрами предоставления государственных (муниципальных)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 постановлением Правительства Российской Федерации от 22.12.2012 №1376 «Об утверждении Правил организации деятельности многофункциональных центров предоставления государственных и муниципальных услуг», постановления администрации Тамбовской области №1561 от 09.12.2014 «Об утверждении перечней государственных и рекомендуемых муниципальных услуг, предоставление которых организуется по принципу «одного окна» в многофункциональных центрах предоставления государственных и муниципальных услуг», постановления администрации города Кирсанова №791 от 28.10.2020 «</w:t>
      </w: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 от 26.03.2015 №358 «Об утверждении Перечня муниципальных услуг, предоставляемых администрацией города Кирсанова»,</w:t>
      </w:r>
      <w:r>
        <w:rPr>
          <w:rFonts w:ascii="Times New Roman" w:hAnsi="Times New Roman"/>
          <w:sz w:val="28"/>
          <w:szCs w:val="28"/>
          <w:shd w:fill="FFFFFF" w:val="clear"/>
        </w:rPr>
        <w:t xml:space="preserve"> администрация города постановляет:</w:t>
      </w:r>
    </w:p>
    <w:p>
      <w:pPr>
        <w:pStyle w:val="NoSpacing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 приложение к постановлению администрации города от 26.03.2015 №359 «</w:t>
      </w:r>
      <w:r>
        <w:rPr>
          <w:rFonts w:ascii="Times New Roman" w:hAnsi="Times New Roman"/>
          <w:sz w:val="28"/>
          <w:szCs w:val="28"/>
          <w:shd w:fill="FFFFFF" w:val="clear"/>
        </w:rPr>
        <w:t>Об утверждении  перечня государственных услуг по полномочиям переданным для осуществления органами местного самоуправления, и муниципальных услуг, предоставление которых может быть организовано по принципу «одного окна» в Кирсановском муниципальном казенном учреждении «Многофункциональный центр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>, утвердив его в новой редакции согласно приложению.</w:t>
      </w:r>
    </w:p>
    <w:p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 силу постановления администрации города Кирсанова: от 18.08.2015 №994 «О внесении изменений в постановление администрации города от 26.03.2015 №359 «Об утверждении Перечня государственных (по переданным полномочиям органам местного самоуправления) и муниципальных услуг муниципального образования городской округ - город Кирсанов, предоставление которых организуется в Кирсановском муниципальном учреждении «Многофункциональный центр предоставления государственных и муниципальных услуг», от 30.10.2015 №1346 «О внесении изменений в постановление администрации города от 26.03.2015 №359 «Об утверждении Перечня государственных (по переданным полномочиям органам местного самоуправления) и муниципальных услуг муниципального образования городской округ - город Кирсанов, предоставление которых организуется в Кирсановском муниципальном учреждении «Многофункциональный центр предоставления государственных и муниципальных услуг», от 25.11.2016 №1216 «О внесении изменений в постановление администрации города от 26.03.2015 №359 «Об утверждении Перечня государственных (по переданным полномочиям органам местного самоуправления) и муниципальных услуг муниципального образования городской округ - город Кирсанов, предоставление которых организуется в Кирсановском муниципальном учреждении «Многофункциональный центр предоставления государственных и муниципальных услуг», от 06.02.2018 №115 «О внесении изменений в постановление администрации города от 26.03.2015 №359 «</w:t>
      </w:r>
      <w:r>
        <w:rPr>
          <w:rFonts w:ascii="Times New Roman" w:hAnsi="Times New Roman"/>
          <w:sz w:val="28"/>
          <w:szCs w:val="28"/>
          <w:shd w:fill="FFFFFF" w:val="clear"/>
        </w:rPr>
        <w:t>Об утверждении  перечня государственных услуг по полномочиям, переданным для осуществления органами местного самоуправления, и муниципальных услуг, предоставление которых может быть организовано по принципу «одного окна» в Кирсановском муниципальном казенном учреждении «Многофункциональный центр предоставления государственных и муниципальных услуг».</w:t>
      </w:r>
    </w:p>
    <w:p>
      <w:pPr>
        <w:pStyle w:val="Western"/>
        <w:spacing w:lineRule="auto" w:line="240" w:beforeAutospacing="0"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периодическом печатном издании «Кирсановский вестник» и разместить на официальном сайте города в сети Интернет.</w:t>
      </w:r>
    </w:p>
    <w:p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на заместителя главы администрации города Панину О.И. </w:t>
      </w:r>
    </w:p>
    <w:p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города                                                                               С.А.Павлов</w:t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sectPr>
          <w:type w:val="nextPage"/>
          <w:pgSz w:w="11906" w:h="16838"/>
          <w:pgMar w:left="1134" w:right="851" w:header="0" w:top="1134" w:footer="0" w:bottom="1134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ind w:left="7788" w:firstLine="708"/>
        <w:jc w:val="right"/>
        <w:rPr>
          <w:rFonts w:ascii="Times New Roman" w:hAnsi="Times New Roman"/>
          <w:sz w:val="23"/>
          <w:szCs w:val="23"/>
        </w:rPr>
      </w:pPr>
      <w:bookmarkStart w:id="0" w:name="__DdeLink__26797_429270339"/>
      <w:bookmarkEnd w:id="0"/>
      <w:r>
        <w:rPr>
          <w:rFonts w:ascii="Times New Roman" w:hAnsi="Times New Roman"/>
          <w:sz w:val="23"/>
          <w:szCs w:val="23"/>
        </w:rPr>
        <w:t xml:space="preserve">ПРИЛОЖЕНИЕ </w:t>
      </w:r>
    </w:p>
    <w:p>
      <w:pPr>
        <w:pStyle w:val="Normal"/>
        <w:spacing w:lineRule="auto" w:line="240" w:before="0" w:after="0"/>
        <w:ind w:left="9200" w:firstLine="700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УТВЕРЖДЕН </w:t>
      </w:r>
    </w:p>
    <w:p>
      <w:pPr>
        <w:pStyle w:val="Normal"/>
        <w:spacing w:lineRule="auto" w:line="240" w:before="0" w:after="0"/>
        <w:ind w:left="7788" w:hanging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города </w:t>
      </w:r>
    </w:p>
    <w:p>
      <w:pPr>
        <w:pStyle w:val="Normal"/>
        <w:spacing w:lineRule="auto" w:line="240" w:before="0" w:after="0"/>
        <w:ind w:left="7788" w:hanging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  <w:u w:val="single"/>
        </w:rPr>
        <w:t xml:space="preserve">28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>октября 2020</w:t>
      </w:r>
      <w:r>
        <w:rPr>
          <w:rFonts w:ascii="Times New Roman" w:hAnsi="Times New Roman"/>
          <w:sz w:val="28"/>
          <w:szCs w:val="28"/>
        </w:rPr>
        <w:t>_г.  №</w:t>
      </w:r>
      <w:r>
        <w:rPr>
          <w:rFonts w:ascii="Times New Roman" w:hAnsi="Times New Roman"/>
          <w:sz w:val="28"/>
          <w:szCs w:val="28"/>
          <w:u w:val="single"/>
        </w:rPr>
        <w:t xml:space="preserve"> 792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Перечень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shd w:fill="FFFFFF" w:val="clear"/>
        </w:rPr>
        <w:t>государственных услуг по полномочиям, переданным для осуществления органами местного самоуправления, и муниципальных услуг, предоставление которых может быть организовано по принципу «одного окна» в Кирсановском муниципальном казенном учреждении «Многофункциональный центр предоставления государственных и муниципальных услуг»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W w:w="15259" w:type="dxa"/>
        <w:jc w:val="left"/>
        <w:tblInd w:w="1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000"/>
      </w:tblPr>
      <w:tblGrid>
        <w:gridCol w:w="659"/>
        <w:gridCol w:w="8079"/>
        <w:gridCol w:w="6521"/>
      </w:tblGrid>
      <w:tr>
        <w:trPr>
          <w:trHeight w:val="685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Структурное подразделение администрации города, предоставляющие муниципальную услугу</w:t>
            </w:r>
          </w:p>
        </w:tc>
      </w:tr>
      <w:tr>
        <w:trPr>
          <w:trHeight w:val="695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yle15"/>
              <w:widowControl w:val="false"/>
              <w:tabs>
                <w:tab w:val="left" w:pos="1313" w:leader="none"/>
              </w:tabs>
              <w:snapToGrid w:val="false"/>
              <w:ind w:right="60" w:hanging="0"/>
              <w:jc w:val="both"/>
              <w:rPr>
                <w:color w:val="000000"/>
              </w:rPr>
            </w:pPr>
            <w:r>
              <w:rPr>
                <w:rStyle w:val="Style13"/>
                <w:color w:val="000000"/>
                <w:lang w:val="ru-RU"/>
              </w:rPr>
              <w:t>Государственная регистрация заключения брака (в части приема заявления о предоставлении государственной услуги)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57" w:hanging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 записи актов гражданского состояния</w:t>
            </w:r>
          </w:p>
        </w:tc>
      </w:tr>
      <w:tr>
        <w:trPr>
          <w:trHeight w:val="947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3"/>
                <w:rFonts w:ascii="Times New Roman" w:hAnsi="Times New Roman"/>
                <w:sz w:val="24"/>
                <w:szCs w:val="24"/>
              </w:rPr>
            </w:pPr>
            <w:r>
              <w:rPr>
                <w:rStyle w:val="3"/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yle15"/>
              <w:widowControl w:val="false"/>
              <w:tabs>
                <w:tab w:val="left" w:pos="1309" w:leader="none"/>
              </w:tabs>
              <w:snapToGrid w:val="false"/>
              <w:ind w:right="60" w:hanging="0"/>
              <w:jc w:val="both"/>
              <w:rPr>
                <w:color w:val="000000"/>
              </w:rPr>
            </w:pPr>
            <w:r>
              <w:rPr>
                <w:rStyle w:val="Style13"/>
                <w:color w:val="000000"/>
                <w:lang w:val="ru-RU"/>
              </w:rPr>
              <w:t>Государственная регистрация расторжении брака по взаимному согласию супругов, не имеющих общих детей, не достигших совершеннолетия (в части приема заявления о предоставлении государственной услуги)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57" w:hanging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 записи актов гражданского состояния</w:t>
            </w:r>
          </w:p>
        </w:tc>
      </w:tr>
      <w:tr>
        <w:trPr>
          <w:trHeight w:val="681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3"/>
                <w:rFonts w:ascii="Times New Roman" w:hAnsi="Times New Roman"/>
                <w:sz w:val="24"/>
                <w:szCs w:val="24"/>
              </w:rPr>
            </w:pPr>
            <w:r>
              <w:rPr>
                <w:rStyle w:val="3"/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Style13"/>
                <w:rFonts w:ascii="Times New Roman" w:hAnsi="Times New Roman"/>
                <w:color w:val="000000"/>
                <w:szCs w:val="24"/>
                <w:lang w:val="ru-RU"/>
              </w:rPr>
              <w:t>Выдача повторных свидетельств (справок), подтверждающих факт государственной регистрации акта гражданского состояния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57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 записи актов гражданского состояния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Принятие решения о присвоении адресов объектам адресации, изменении, аннулировании адресов или об отказе в принятии такого решения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Выдача акта,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</w:t>
            </w:r>
          </w:p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материнского (семейного) капитала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Выдача градостроительного плана земельного участка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Выдача разрешения на строительство, реконструкцию объекта капитального строительства, продление срока его действия, а также внесение изменений в разрешение на строительство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Выдача разрешения на ввод объекта в эксплуатацию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0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07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такого решения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uppressLineNumbers/>
              <w:spacing w:beforeAutospacing="0" w:before="0" w:after="0"/>
              <w:ind w:left="102" w:right="350" w:hanging="0"/>
              <w:jc w:val="both"/>
              <w:rPr>
                <w:iCs/>
              </w:rPr>
            </w:pPr>
            <w:r>
              <w:rPr>
                <w:rFonts w:eastAsia="Microsoft YaHei"/>
                <w:iCs/>
              </w:rPr>
              <w:t>Принятие решения о подготовке документации по планировке территории в границах городского округа город Кирсанов  Тамбовской области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Выдача разрешений на установку и эксплуатацию рекламных конструкций, аннулирование таких разрешений, выдача предписаний о демонтаже самовольно установленных рекламных конструкций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Принятие решения о переводе или об отказе в переводе жилого помещения в нежилое помещение или нежилого помещения в жилое помещение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Принятие решения о согласовании или об отказе в согласовании переустройства и (или) перепланировки жилого помещения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Дача согласия на обмен жилыми помещениями муниципального жилищного фонда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hanging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Принятие на учет граждан в качестве нуждающихся в жилых помещениях по договорам социального найма или договорам найма жилых помещений жилищного фонда социального использования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1020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 (за исключением земельных участков)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Предварительное согласование предоставления</w:t>
            </w:r>
          </w:p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uppressLineNumbers/>
              <w:spacing w:beforeAutospacing="0" w:before="0" w:after="0"/>
              <w:ind w:left="102" w:right="350" w:hanging="0"/>
              <w:jc w:val="both"/>
              <w:rPr>
                <w:iCs/>
              </w:rPr>
            </w:pPr>
            <w:r>
              <w:rPr>
                <w:bCs/>
                <w:iCs/>
              </w:rPr>
              <w:t>Предоставление земельных участков, находящихся в муниципальной собственности или государственная собственность на которые не разграничена, и на которых расположены здания, сооружения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или отказе в предоставлении земельных участков для индивидуального жилищного строительства, ведения личного подсобного хозяйства, садоводства или огородничества многодетным семьям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предоставлении в собственность бесплатно земельного участка для индивидуального жилищного строительства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постановке на учет граждан, имеющих право на получение бесплатно в собственность земельного участка для индивидуального жилищного строительства, или об отказе в принятии такого решения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hanging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 прекращении права постоянного (бессрочного) пользования, права пожизненного наследуемого владения на земельные участки, находящиеся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Комитет по управлению муниципальным имуществом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1"/>
              <w:pBdr>
                <w:bottom w:val="single" w:sz="6" w:space="0" w:color="EEEEEE"/>
              </w:pBdr>
              <w:shd w:val="clear" w:color="auto" w:fill="FFFFFF"/>
              <w:ind w:left="102" w:right="350" w:hanging="0"/>
              <w:jc w:val="both"/>
              <w:rPr>
                <w:rFonts w:cs="Times New Roman"/>
                <w:bCs/>
                <w:color w:val="333333"/>
                <w:sz w:val="24"/>
                <w:szCs w:val="24"/>
              </w:rPr>
            </w:pPr>
            <w:r>
              <w:rPr>
                <w:rFonts w:cs="Times New Roman"/>
                <w:bCs/>
                <w:color w:val="333333"/>
                <w:sz w:val="24"/>
                <w:szCs w:val="24"/>
              </w:rPr>
              <w:t>Предоставление разрешения на осуществление земляных работ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жилищно-коммунального хозяйства и благоустройства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1"/>
              <w:pBdr>
                <w:bottom w:val="single" w:sz="6" w:space="0" w:color="EEEEEE"/>
              </w:pBdr>
              <w:shd w:val="clear" w:color="auto" w:fill="FFFFFF"/>
              <w:ind w:left="102" w:right="350" w:hanging="0"/>
              <w:jc w:val="both"/>
              <w:rPr>
                <w:rFonts w:cs="Times New Roman"/>
                <w:bCs/>
                <w:color w:val="333333"/>
                <w:sz w:val="24"/>
                <w:szCs w:val="24"/>
              </w:rPr>
            </w:pPr>
            <w:r>
              <w:rPr>
                <w:rFonts w:cs="Times New Roman"/>
                <w:bCs/>
                <w:color w:val="333333"/>
                <w:sz w:val="24"/>
                <w:szCs w:val="24"/>
              </w:rPr>
              <w:t>Предоставление решения о согласовании архитектурно-градостроительного облика объекта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Принятие решения об организации ярмарки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Выдача разрешения, переоформление разрешения, продление срока действия разрешения или выдача дубликата и копий разрешения на право организации розничного рынка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экономического развития, труда, предпринимательства и муниципального заказа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Исполнение запросов юридических и физических лиц о предоставлении архивной информации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Архивный отдел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uppressLineNumbers/>
              <w:spacing w:beforeAutospacing="0" w:before="0" w:after="0"/>
              <w:ind w:left="102" w:right="350" w:hanging="0"/>
              <w:jc w:val="both"/>
              <w:rPr>
                <w:iCs/>
              </w:rPr>
            </w:pPr>
            <w:r>
              <w:rPr>
                <w:rStyle w:val="Style12"/>
                <w:b w:val="false"/>
                <w:bCs w:val="false"/>
              </w:rPr>
              <w:t>Прием заявлений, постановка на учет и зачисление детей в муниципальные образовательные учреждения, реализующие основную общеобразовательную программу дошкольного образования (детские сады)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8079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uppressLineNumbers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Принятие решения об утверждении схемы расположения земельного участка на кадастровом плане территории</w:t>
            </w:r>
          </w:p>
        </w:tc>
        <w:tc>
          <w:tcPr>
            <w:tcW w:w="652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Комитет по управлению муниципальным имуществом 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  <w:tr>
        <w:trPr>
          <w:trHeight w:val="383" w:hRule="atLeast"/>
        </w:trPr>
        <w:tc>
          <w:tcPr>
            <w:tcW w:w="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Style w:val="Pagenumber"/>
                <w:rFonts w:ascii="Times New Roman" w:hAnsi="Times New Roman"/>
                <w:sz w:val="24"/>
                <w:szCs w:val="24"/>
              </w:rPr>
            </w:pPr>
            <w:r>
              <w:rPr>
                <w:rStyle w:val="Pagenumber"/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8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102" w:right="350" w:hanging="0"/>
              <w:jc w:val="both"/>
              <w:rPr>
                <w:rFonts w:ascii="Times New Roman" w:hAnsi="Times New Roman" w:eastAsia="Microsoft YaHei"/>
                <w:iCs/>
                <w:sz w:val="24"/>
                <w:szCs w:val="24"/>
                <w:lang w:eastAsia="ru-RU"/>
              </w:rPr>
            </w:pPr>
            <w:r>
              <w:rPr>
                <w:rFonts w:eastAsia="Microsoft YaHei" w:ascii="Times New Roman" w:hAnsi="Times New Roman"/>
                <w:iCs/>
                <w:sz w:val="24"/>
                <w:szCs w:val="24"/>
                <w:lang w:eastAsia="ru-RU"/>
              </w:rPr>
              <w:t>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архитектуры, строительства и перспектив развития города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851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  <w:rPr>
        <w:sz w:val="32"/>
        <w:b/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sz w:val="48"/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a606e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sz w:val="22"/>
      <w:szCs w:val="22"/>
      <w:lang w:eastAsia="en-US" w:val="ru-RU" w:bidi="ar-SA"/>
    </w:rPr>
  </w:style>
  <w:style w:type="paragraph" w:styleId="1">
    <w:name w:val="Heading 1"/>
    <w:basedOn w:val="Normal"/>
    <w:link w:val="Heading1Char"/>
    <w:uiPriority w:val="99"/>
    <w:qFormat/>
    <w:locked/>
    <w:rsid w:val="009463f9"/>
    <w:pPr>
      <w:keepNext/>
      <w:widowControl w:val="false"/>
      <w:suppressAutoHyphens w:val="true"/>
      <w:spacing w:lineRule="auto" w:line="240" w:before="0" w:after="0"/>
      <w:textAlignment w:val="baseline"/>
      <w:outlineLvl w:val="0"/>
    </w:pPr>
    <w:rPr>
      <w:rFonts w:ascii="Times New Roman" w:hAnsi="Times New Roman" w:eastAsia="SimSun" w:cs="Mangal"/>
      <w:sz w:val="28"/>
      <w:szCs w:val="20"/>
      <w:lang w:eastAsia="zh-CN" w:bidi="hi-IN"/>
    </w:rPr>
  </w:style>
  <w:style w:type="paragraph" w:styleId="2">
    <w:name w:val="Heading 2"/>
    <w:basedOn w:val="Normal"/>
    <w:next w:val="Normal"/>
    <w:link w:val="Heading2Char"/>
    <w:uiPriority w:val="99"/>
    <w:qFormat/>
    <w:locked/>
    <w:rsid w:val="00491b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9463f9"/>
    <w:rPr>
      <w:rFonts w:eastAsia="SimSun" w:cs="Mangal"/>
      <w:sz w:val="28"/>
      <w:lang w:val="ru-RU" w:eastAsia="zh-CN" w:bidi="hi-IN"/>
    </w:rPr>
  </w:style>
  <w:style w:type="character" w:styleId="Heading2Char" w:customStyle="1">
    <w:name w:val="Heading 2 Char"/>
    <w:basedOn w:val="DefaultParagraphFont"/>
    <w:link w:val="Heading2"/>
    <w:uiPriority w:val="99"/>
    <w:semiHidden/>
    <w:qFormat/>
    <w:locked/>
    <w:rsid w:val="00140a36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BodyTextChar" w:customStyle="1">
    <w:name w:val="Body Text Char"/>
    <w:basedOn w:val="DefaultParagraphFont"/>
    <w:link w:val="BodyText"/>
    <w:uiPriority w:val="99"/>
    <w:qFormat/>
    <w:locked/>
    <w:rsid w:val="003c6f2d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7f3f28"/>
    <w:rPr>
      <w:rFonts w:cs="Times New Roman"/>
      <w:b/>
      <w:bCs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af4a3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qFormat/>
    <w:rsid w:val="009463f9"/>
    <w:rPr>
      <w:rFonts w:cs="Times New Roman"/>
    </w:rPr>
  </w:style>
  <w:style w:type="character" w:styleId="Style12" w:customStyle="1">
    <w:name w:val="Выделение жирным"/>
    <w:basedOn w:val="DefaultParagraphFont"/>
    <w:uiPriority w:val="99"/>
    <w:qFormat/>
    <w:rsid w:val="009463f9"/>
    <w:rPr>
      <w:rFonts w:cs="Times New Roman"/>
      <w:b/>
      <w:bCs/>
    </w:rPr>
  </w:style>
  <w:style w:type="character" w:styleId="Appleconvertedspace" w:customStyle="1">
    <w:name w:val="apple-converted-space"/>
    <w:basedOn w:val="DefaultParagraphFont"/>
    <w:uiPriority w:val="99"/>
    <w:qFormat/>
    <w:rsid w:val="00491b09"/>
    <w:rPr>
      <w:rFonts w:cs="Times New Roman"/>
    </w:rPr>
  </w:style>
  <w:style w:type="character" w:styleId="3" w:customStyle="1">
    <w:name w:val="Основной шрифт абзаца3"/>
    <w:uiPriority w:val="99"/>
    <w:qFormat/>
    <w:rsid w:val="00535cad"/>
    <w:rPr/>
  </w:style>
  <w:style w:type="character" w:styleId="Style13" w:customStyle="1">
    <w:name w:val="Основной текст Знак"/>
    <w:uiPriority w:val="99"/>
    <w:qFormat/>
    <w:rsid w:val="00535cad"/>
    <w:rPr>
      <w:sz w:val="24"/>
      <w:lang w:eastAsia="zh-CN"/>
    </w:rPr>
  </w:style>
  <w:style w:type="character" w:styleId="ListLabel1">
    <w:name w:val="ListLabel 1"/>
    <w:qFormat/>
    <w:rPr>
      <w:rFonts w:cs="Times New Roman"/>
      <w:b/>
      <w:sz w:val="32"/>
    </w:rPr>
  </w:style>
  <w:style w:type="character" w:styleId="ListLabel2">
    <w:name w:val="ListLabel 2"/>
    <w:qFormat/>
    <w:rPr>
      <w:rFonts w:ascii="Times New Roman" w:hAnsi="Times New Roman" w:cs="Times New Roman"/>
      <w:sz w:val="48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Default"/>
    <w:next w:val="Default"/>
    <w:link w:val="BodyTextChar"/>
    <w:uiPriority w:val="99"/>
    <w:rsid w:val="003c6f2d"/>
    <w:pPr/>
    <w:rPr>
      <w:color w:val="00000A"/>
    </w:rPr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Default" w:customStyle="1">
    <w:name w:val="Default"/>
    <w:uiPriority w:val="99"/>
    <w:qFormat/>
    <w:rsid w:val="003c6f2d"/>
    <w:pPr>
      <w:widowControl/>
      <w:bidi w:val="0"/>
      <w:jc w:val="left"/>
    </w:pPr>
    <w:rPr>
      <w:rFonts w:ascii="Times New Roman" w:hAnsi="Times New Roman" w:eastAsia="Calibri" w:cs="Times New Roman"/>
      <w:color w:val="000000"/>
      <w:sz w:val="24"/>
      <w:szCs w:val="24"/>
      <w:lang w:eastAsia="en-US" w:val="ru-RU" w:bidi="ar-SA"/>
    </w:rPr>
  </w:style>
  <w:style w:type="paragraph" w:styleId="NoSpacing">
    <w:name w:val="No Spacing"/>
    <w:uiPriority w:val="99"/>
    <w:qFormat/>
    <w:rsid w:val="003c6f2d"/>
    <w:pPr>
      <w:widowControl/>
      <w:bidi w:val="0"/>
      <w:jc w:val="left"/>
    </w:pPr>
    <w:rPr>
      <w:rFonts w:ascii="Calibri" w:hAnsi="Calibri" w:eastAsia="Calibri" w:cs="Times New Roman"/>
      <w:color w:val="auto"/>
      <w:sz w:val="22"/>
      <w:szCs w:val="22"/>
      <w:lang w:eastAsia="en-US" w:val="ru-RU" w:bidi="ar-SA"/>
    </w:rPr>
  </w:style>
  <w:style w:type="paragraph" w:styleId="NormalWeb">
    <w:name w:val="Normal (Web)"/>
    <w:basedOn w:val="Normal"/>
    <w:uiPriority w:val="99"/>
    <w:semiHidden/>
    <w:qFormat/>
    <w:rsid w:val="007f3f28"/>
    <w:pPr>
      <w:spacing w:lineRule="auto" w:line="240" w:beforeAutospacing="1" w:after="119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qFormat/>
    <w:rsid w:val="00af4a3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Western" w:customStyle="1">
    <w:name w:val="western"/>
    <w:basedOn w:val="Normal"/>
    <w:uiPriority w:val="99"/>
    <w:qFormat/>
    <w:rsid w:val="00491b09"/>
    <w:pPr>
      <w:spacing w:lineRule="auto" w:line="288" w:beforeAutospacing="1" w:after="142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ConsPlusTitle" w:customStyle="1">
    <w:name w:val="ConsPlusTitle"/>
    <w:uiPriority w:val="99"/>
    <w:qFormat/>
    <w:rsid w:val="00491b09"/>
    <w:pPr>
      <w:widowControl w:val="false"/>
      <w:suppressAutoHyphens w:val="true"/>
      <w:bidi w:val="0"/>
      <w:jc w:val="left"/>
    </w:pPr>
    <w:rPr>
      <w:rFonts w:ascii="Times New Roman" w:hAnsi="Times New Roman" w:eastAsia="Times New Roman" w:cs="Mangal"/>
      <w:b/>
      <w:bCs/>
      <w:color w:val="auto"/>
      <w:sz w:val="24"/>
      <w:szCs w:val="24"/>
      <w:lang w:bidi="hi-IN" w:val="ru-RU"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937</TotalTime>
  <Application>LibreOffice/5.2.2.2$Windows_x86 LibreOffice_project/8f96e87c890bf8fa77463cd4b640a2312823f3ad</Application>
  <Pages>6</Pages>
  <Words>1345</Words>
  <Characters>10745</Characters>
  <CharactersWithSpaces>12110</CharactersWithSpaces>
  <Paragraphs>118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2018-01-31T10:47:00Z</dcterms:created>
  <dc:creator>econ2</dc:creator>
  <dc:description/>
  <dc:language>ru-RU</dc:language>
  <cp:lastModifiedBy/>
  <cp:lastPrinted>2020-11-02T05:48:00Z</cp:lastPrinted>
  <dcterms:modified xsi:type="dcterms:W3CDTF">2020-11-13T13:25:41Z</dcterms:modified>
  <cp:revision>145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